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3FA" w:rsidRPr="00D54E3C" w:rsidRDefault="00A103FA" w:rsidP="00A103FA">
      <w:pPr>
        <w:spacing w:line="480" w:lineRule="auto"/>
        <w:ind w:left="720" w:hanging="720"/>
        <w:rPr>
          <w:rFonts w:ascii="Times New Roman" w:eastAsia="等线" w:hAnsi="Times New Roman" w:cs="Times New Roman"/>
          <w:b/>
          <w:noProof/>
          <w:sz w:val="24"/>
          <w:szCs w:val="24"/>
        </w:rPr>
      </w:pPr>
      <w:r w:rsidRPr="00D54E3C">
        <w:rPr>
          <w:rFonts w:ascii="Times New Roman" w:eastAsia="等线" w:hAnsi="Times New Roman" w:cs="Times New Roman"/>
          <w:b/>
          <w:noProof/>
          <w:sz w:val="24"/>
          <w:szCs w:val="24"/>
        </w:rPr>
        <w:t>Supplementary data</w:t>
      </w:r>
    </w:p>
    <w:p w:rsidR="00A103FA" w:rsidRPr="00D54E3C" w:rsidRDefault="00A103FA" w:rsidP="00A103FA">
      <w:pPr>
        <w:spacing w:line="480" w:lineRule="auto"/>
        <w:ind w:left="720" w:hanging="720"/>
        <w:rPr>
          <w:rFonts w:ascii="Times New Roman" w:eastAsia="等线" w:hAnsi="Times New Roman" w:cs="Times New Roman"/>
          <w:noProof/>
          <w:sz w:val="24"/>
          <w:szCs w:val="24"/>
        </w:rPr>
      </w:pPr>
      <w:r w:rsidRPr="00D54E3C">
        <w:rPr>
          <w:rFonts w:ascii="Times New Roman" w:eastAsia="等线" w:hAnsi="Times New Roman" w:cs="Times New Roman"/>
          <w:noProof/>
          <w:sz w:val="24"/>
          <w:szCs w:val="24"/>
        </w:rPr>
        <w:t>Table S1. Primers used in this study.</w:t>
      </w:r>
    </w:p>
    <w:tbl>
      <w:tblPr>
        <w:tblStyle w:val="a3"/>
        <w:tblW w:w="9781" w:type="dxa"/>
        <w:tblInd w:w="10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4"/>
        <w:gridCol w:w="1176"/>
        <w:gridCol w:w="3864"/>
        <w:gridCol w:w="1379"/>
        <w:gridCol w:w="2268"/>
      </w:tblGrid>
      <w:tr w:rsidR="00A103FA" w:rsidRPr="00D54E3C" w:rsidTr="00A103FA">
        <w:tc>
          <w:tcPr>
            <w:tcW w:w="1094" w:type="dxa"/>
            <w:tcBorders>
              <w:bottom w:val="single" w:sz="4" w:space="0" w:color="auto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Location</w:t>
            </w:r>
          </w:p>
        </w:tc>
        <w:tc>
          <w:tcPr>
            <w:tcW w:w="1176" w:type="dxa"/>
            <w:tcBorders>
              <w:bottom w:val="single" w:sz="4" w:space="0" w:color="auto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Primer</w:t>
            </w:r>
          </w:p>
        </w:tc>
        <w:tc>
          <w:tcPr>
            <w:tcW w:w="3864" w:type="dxa"/>
            <w:tcBorders>
              <w:bottom w:val="single" w:sz="4" w:space="0" w:color="auto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Nucleotide sequence (5’-3’)</w:t>
            </w:r>
          </w:p>
        </w:tc>
        <w:tc>
          <w:tcPr>
            <w:tcW w:w="1379" w:type="dxa"/>
            <w:tcBorders>
              <w:bottom w:val="single" w:sz="4" w:space="0" w:color="auto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Product length (bp)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Reference</w:t>
            </w:r>
          </w:p>
        </w:tc>
      </w:tr>
      <w:tr w:rsidR="00A103FA" w:rsidRPr="00D54E3C" w:rsidTr="00A103FA">
        <w:tc>
          <w:tcPr>
            <w:tcW w:w="1094" w:type="dxa"/>
            <w:tcBorders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tnsa</w:t>
            </w:r>
          </w:p>
        </w:tc>
        <w:tc>
          <w:tcPr>
            <w:tcW w:w="1176" w:type="dxa"/>
            <w:tcBorders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tnsa-fw</w:t>
            </w:r>
          </w:p>
        </w:tc>
        <w:tc>
          <w:tcPr>
            <w:tcW w:w="3864" w:type="dxa"/>
            <w:tcBorders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TGGCTAACAGTACAAGAAGT</w:t>
            </w:r>
          </w:p>
        </w:tc>
        <w:tc>
          <w:tcPr>
            <w:tcW w:w="1379" w:type="dxa"/>
            <w:vMerge w:val="restart"/>
            <w:tcBorders>
              <w:bottom w:val="nil"/>
            </w:tcBorders>
            <w:vAlign w:val="center"/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713</w:t>
            </w:r>
          </w:p>
        </w:tc>
        <w:tc>
          <w:tcPr>
            <w:tcW w:w="2268" w:type="dxa"/>
            <w:vMerge w:val="restart"/>
            <w:tcBorders>
              <w:bottom w:val="nil"/>
            </w:tcBorders>
            <w:vAlign w:val="center"/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This study</w:t>
            </w:r>
          </w:p>
        </w:tc>
      </w:tr>
      <w:tr w:rsidR="00A103FA" w:rsidRPr="00D54E3C" w:rsidTr="00A103FA">
        <w:tc>
          <w:tcPr>
            <w:tcW w:w="109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tnsa</w:t>
            </w:r>
          </w:p>
        </w:tc>
        <w:tc>
          <w:tcPr>
            <w:tcW w:w="1176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tnsa-rv</w:t>
            </w:r>
          </w:p>
        </w:tc>
        <w:tc>
          <w:tcPr>
            <w:tcW w:w="386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CGCAACTCCTCCATATTCA</w:t>
            </w:r>
          </w:p>
        </w:tc>
        <w:tc>
          <w:tcPr>
            <w:tcW w:w="1379" w:type="dxa"/>
            <w:vMerge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</w:p>
        </w:tc>
      </w:tr>
      <w:tr w:rsidR="00A103FA" w:rsidRPr="00D54E3C" w:rsidTr="00A103FA">
        <w:tc>
          <w:tcPr>
            <w:tcW w:w="109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16s</w:t>
            </w:r>
          </w:p>
        </w:tc>
        <w:tc>
          <w:tcPr>
            <w:tcW w:w="1176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16s-fw</w:t>
            </w:r>
          </w:p>
        </w:tc>
        <w:tc>
          <w:tcPr>
            <w:tcW w:w="386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AGAGTTTGATCMTGGCTCAG</w:t>
            </w:r>
          </w:p>
        </w:tc>
        <w:tc>
          <w:tcPr>
            <w:tcW w:w="1379" w:type="dxa"/>
            <w:vMerge w:val="restart"/>
            <w:tcBorders>
              <w:top w:val="nil"/>
            </w:tcBorders>
            <w:vAlign w:val="center"/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1466</w:t>
            </w:r>
          </w:p>
        </w:tc>
        <w:tc>
          <w:tcPr>
            <w:tcW w:w="2268" w:type="dxa"/>
            <w:vMerge w:val="restart"/>
            <w:tcBorders>
              <w:top w:val="nil"/>
            </w:tcBorders>
            <w:vAlign w:val="center"/>
          </w:tcPr>
          <w:p w:rsidR="00A103FA" w:rsidRPr="00D54E3C" w:rsidRDefault="00A103FA" w:rsidP="00A103F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fldChar w:fldCharType="begin">
                <w:fldData xml:space="preserve">PEVuZE5vdGU+PENpdGU+PEF1dGhvcj5TdXp1a2k8L0F1dGhvcj48WWVhcj4yMDAwPC9ZZWFyPjxS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</w:fldData>
              </w:fldChar>
            </w:r>
            <w:r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instrText xml:space="preserve"> ADDIN EN.CITE </w:instrText>
            </w:r>
            <w:r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fldChar w:fldCharType="begin">
                <w:fldData xml:space="preserve">PEVuZE5vdGU+PENpdGU+PEF1dGhvcj5TdXp1a2k8L0F1dGhvcj48WWVhcj4yMDAwPC9ZZWFyPjxS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</w:fldData>
              </w:fldChar>
            </w:r>
            <w:r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instrText xml:space="preserve"> ADDIN EN.CITE.DATA </w:instrText>
            </w:r>
            <w:r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r>
            <w:r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fldChar w:fldCharType="end"/>
            </w:r>
            <w:r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(</w:t>
            </w:r>
            <w:hyperlink w:anchor="_ENREF_2" w:tooltip="Suzuki, 2000 #6397" w:history="1">
              <w:r>
                <w:rPr>
                  <w:rFonts w:ascii="Times New Roman" w:eastAsia="等线" w:hAnsi="Times New Roman" w:cs="Times New Roman"/>
                  <w:noProof/>
                  <w:sz w:val="24"/>
                  <w:szCs w:val="24"/>
                </w:rPr>
                <w:t>Suzuki et al., 2000</w:t>
              </w:r>
            </w:hyperlink>
            <w:r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)</w:t>
            </w:r>
            <w:r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fldChar w:fldCharType="end"/>
            </w:r>
          </w:p>
        </w:tc>
      </w:tr>
      <w:tr w:rsidR="00A103FA" w:rsidRPr="00D54E3C" w:rsidTr="00A103FA">
        <w:tc>
          <w:tcPr>
            <w:tcW w:w="109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16s</w:t>
            </w:r>
          </w:p>
        </w:tc>
        <w:tc>
          <w:tcPr>
            <w:tcW w:w="1176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16s-rv</w:t>
            </w:r>
          </w:p>
        </w:tc>
        <w:tc>
          <w:tcPr>
            <w:tcW w:w="386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TACGGYTACCTTGTTACGACTT</w:t>
            </w:r>
          </w:p>
        </w:tc>
        <w:tc>
          <w:tcPr>
            <w:tcW w:w="1379" w:type="dxa"/>
            <w:vMerge/>
            <w:tcBorders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bottom w:val="nil"/>
            </w:tcBorders>
            <w:vAlign w:val="center"/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</w:p>
        </w:tc>
      </w:tr>
      <w:tr w:rsidR="00A103FA" w:rsidRPr="00D54E3C" w:rsidTr="00A103FA">
        <w:tc>
          <w:tcPr>
            <w:tcW w:w="109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intI2</w:t>
            </w:r>
          </w:p>
        </w:tc>
        <w:tc>
          <w:tcPr>
            <w:tcW w:w="1176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intI2-fw</w:t>
            </w:r>
          </w:p>
        </w:tc>
        <w:tc>
          <w:tcPr>
            <w:tcW w:w="386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CACGGATATGCGACAAAAAGGT</w:t>
            </w:r>
          </w:p>
        </w:tc>
        <w:tc>
          <w:tcPr>
            <w:tcW w:w="1379" w:type="dxa"/>
            <w:vMerge w:val="restart"/>
            <w:tcBorders>
              <w:top w:val="nil"/>
              <w:bottom w:val="nil"/>
            </w:tcBorders>
            <w:vAlign w:val="center"/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788</w:t>
            </w:r>
          </w:p>
        </w:tc>
        <w:tc>
          <w:tcPr>
            <w:tcW w:w="2268" w:type="dxa"/>
            <w:vMerge w:val="restart"/>
            <w:tcBorders>
              <w:top w:val="nil"/>
              <w:bottom w:val="nil"/>
            </w:tcBorders>
            <w:vAlign w:val="center"/>
          </w:tcPr>
          <w:p w:rsidR="00A103FA" w:rsidRPr="00D54E3C" w:rsidRDefault="00A103FA" w:rsidP="00A103FA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fldChar w:fldCharType="begin"/>
            </w:r>
            <w:r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instrText xml:space="preserve"> ADDIN EN.CITE &lt;EndNote&gt;&lt;Cite&gt;&lt;Author&gt;Mazel&lt;/Author&gt;&lt;Year&gt;2000&lt;/Year&gt;&lt;RecNum&gt;6398&lt;/RecNum&gt;&lt;DisplayText&gt;(Mazel et al., 2000)&lt;/DisplayText&gt;&lt;record&gt;&lt;rec-number&gt;6398&lt;/rec-number&gt;&lt;foreign-keys&gt;&lt;key app="EN" db-id="rf09r0dt2xvefgefdtk5t9f8ze5azvd2dzxx"&gt;6398&lt;/key&gt;&lt;/foreign-keys&gt;&lt;ref-type name="Journal Article"&gt;17&lt;/ref-type&gt;&lt;contributors&gt;&lt;authors&gt;&lt;author&gt;Mazel, D.&lt;/author&gt;&lt;author&gt;Dychinco, B.&lt;/author&gt;&lt;author&gt;Webb, V. A.&lt;/author&gt;&lt;author&gt;Davies, J.&lt;/author&gt;&lt;/authors&gt;&lt;/contributors&gt;&lt;auth-address&gt;Unite de Programmation Moleculaire et Toxicologie Genetique, Institut Pasteur, 75724 Paris cedex 15, France.&lt;/auth-address&gt;&lt;titles&gt;&lt;title&gt;Antibiotic resistance in the ECOR collection: integrons and identification of a novel aad gene&lt;/title&gt;&lt;secondary-title&gt;Antimicrob Agents Chemother&lt;/secondary-title&gt;&lt;alt-title&gt;Antimicrobial agents and chemotherapy&lt;/alt-title&gt;&lt;/titles&gt;&lt;periodical&gt;&lt;full-title&gt;Antimicrob Agents Chemother&lt;/full-title&gt;&lt;abbr-1&gt;Antimicrobial agents and chemotherapy&lt;/abbr-1&gt;&lt;/periodical&gt;&lt;alt-periodical&gt;&lt;full-title&gt;Antimicrob Agents Chemother&lt;/full-title&gt;&lt;abbr-1&gt;Antimicrobial agents and chemotherapy&lt;/abbr-1&gt;&lt;/alt-periodical&gt;&lt;pages&gt;1568-74&lt;/pages&gt;&lt;volume&gt;44&lt;/volume&gt;&lt;number&gt;6&lt;/number&gt;&lt;keywords&gt;&lt;keyword&gt;Amino Acid Sequence&lt;/keyword&gt;&lt;keyword&gt;Bacterial Proteins/*genetics&lt;/keyword&gt;&lt;keyword&gt;Drug Resistance, Microbial/*genetics&lt;/keyword&gt;&lt;keyword&gt;Escherichia coli/*drug effects/*genetics&lt;/keyword&gt;&lt;keyword&gt;*Escherichia coli Proteins&lt;/keyword&gt;&lt;keyword&gt;*Genes, Bacterial&lt;/keyword&gt;&lt;keyword&gt;Molecular Sequence Data&lt;/keyword&gt;&lt;keyword&gt;Sequence Alignment&lt;/keyword&gt;&lt;/keywords&gt;&lt;dates&gt;&lt;year&gt;2000&lt;/year&gt;&lt;pub-dates&gt;&lt;date&gt;Jun&lt;/date&gt;&lt;/pub-dates&gt;&lt;/dates&gt;&lt;isbn&gt;0066-4804 (Print)&amp;#xD;0066-4804 (Linking)&lt;/isbn&gt;&lt;accession-num&gt;10817710&lt;/accession-num&gt;&lt;urls&gt;&lt;related-urls&gt;&lt;url&gt;http://www.ncbi.nlm.nih.gov/pubmed/10817710&lt;/url&gt;&lt;/related-urls&gt;&lt;/urls&gt;&lt;custom2&gt;89914&lt;/custom2&gt;&lt;electronic-resource-num&gt;10.1128/aac.44.6.1568-1574.2000&lt;/electronic-resource-num&gt;&lt;/record&gt;&lt;/Cite&gt;&lt;/EndNote&gt;</w:instrText>
            </w:r>
            <w:r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fldChar w:fldCharType="separate"/>
            </w:r>
            <w:r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(</w:t>
            </w:r>
            <w:hyperlink w:anchor="_ENREF_1" w:tooltip="Mazel, 2000 #6398" w:history="1">
              <w:r>
                <w:rPr>
                  <w:rFonts w:ascii="Times New Roman" w:eastAsia="等线" w:hAnsi="Times New Roman" w:cs="Times New Roman"/>
                  <w:noProof/>
                  <w:sz w:val="24"/>
                  <w:szCs w:val="24"/>
                </w:rPr>
                <w:t>Mazel et al., 2000</w:t>
              </w:r>
            </w:hyperlink>
            <w:r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)</w:t>
            </w:r>
            <w:r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fldChar w:fldCharType="end"/>
            </w:r>
          </w:p>
        </w:tc>
      </w:tr>
      <w:tr w:rsidR="00A103FA" w:rsidRPr="00D54E3C" w:rsidTr="00A103FA">
        <w:tc>
          <w:tcPr>
            <w:tcW w:w="109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intI2</w:t>
            </w:r>
          </w:p>
        </w:tc>
        <w:tc>
          <w:tcPr>
            <w:tcW w:w="1176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intI2-rv</w:t>
            </w:r>
          </w:p>
        </w:tc>
        <w:tc>
          <w:tcPr>
            <w:tcW w:w="386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GTAGCAAACGAGTGACGAAATG</w:t>
            </w:r>
          </w:p>
        </w:tc>
        <w:tc>
          <w:tcPr>
            <w:tcW w:w="1379" w:type="dxa"/>
            <w:vMerge/>
            <w:tcBorders>
              <w:top w:val="nil"/>
              <w:bottom w:val="nil"/>
            </w:tcBorders>
            <w:vAlign w:val="center"/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  <w:bottom w:val="nil"/>
            </w:tcBorders>
            <w:vAlign w:val="center"/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</w:p>
        </w:tc>
      </w:tr>
      <w:tr w:rsidR="00A103FA" w:rsidRPr="00D54E3C" w:rsidTr="00A103FA">
        <w:tc>
          <w:tcPr>
            <w:tcW w:w="109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aadA1</w:t>
            </w:r>
          </w:p>
        </w:tc>
        <w:tc>
          <w:tcPr>
            <w:tcW w:w="1176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aadA1-fw</w:t>
            </w:r>
          </w:p>
        </w:tc>
        <w:tc>
          <w:tcPr>
            <w:tcW w:w="386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GGTGATCGCCGAAGTATC</w:t>
            </w:r>
          </w:p>
        </w:tc>
        <w:tc>
          <w:tcPr>
            <w:tcW w:w="1379" w:type="dxa"/>
            <w:vMerge w:val="restart"/>
            <w:tcBorders>
              <w:top w:val="nil"/>
              <w:bottom w:val="nil"/>
            </w:tcBorders>
            <w:vAlign w:val="center"/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772</w:t>
            </w:r>
          </w:p>
        </w:tc>
        <w:tc>
          <w:tcPr>
            <w:tcW w:w="2268" w:type="dxa"/>
            <w:vMerge w:val="restart"/>
            <w:tcBorders>
              <w:top w:val="nil"/>
              <w:bottom w:val="nil"/>
            </w:tcBorders>
            <w:vAlign w:val="center"/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This study</w:t>
            </w:r>
          </w:p>
        </w:tc>
      </w:tr>
      <w:tr w:rsidR="00A103FA" w:rsidRPr="00D54E3C" w:rsidTr="00A103FA">
        <w:tc>
          <w:tcPr>
            <w:tcW w:w="109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aadA1</w:t>
            </w:r>
          </w:p>
        </w:tc>
        <w:tc>
          <w:tcPr>
            <w:tcW w:w="1176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aadA1-rv</w:t>
            </w:r>
          </w:p>
        </w:tc>
        <w:tc>
          <w:tcPr>
            <w:tcW w:w="386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GCCGACTACCTTGGTGAT</w:t>
            </w:r>
          </w:p>
        </w:tc>
        <w:tc>
          <w:tcPr>
            <w:tcW w:w="1379" w:type="dxa"/>
            <w:vMerge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  <w:bottom w:val="nil"/>
            </w:tcBorders>
            <w:vAlign w:val="center"/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</w:p>
        </w:tc>
      </w:tr>
      <w:tr w:rsidR="00A103FA" w:rsidRPr="00D54E3C" w:rsidTr="00A103FA">
        <w:tc>
          <w:tcPr>
            <w:tcW w:w="109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sat2</w:t>
            </w:r>
          </w:p>
        </w:tc>
        <w:tc>
          <w:tcPr>
            <w:tcW w:w="1176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sat2-fw</w:t>
            </w:r>
          </w:p>
        </w:tc>
        <w:tc>
          <w:tcPr>
            <w:tcW w:w="386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ACATTGGATGCTGAGAACC</w:t>
            </w:r>
          </w:p>
        </w:tc>
        <w:tc>
          <w:tcPr>
            <w:tcW w:w="1379" w:type="dxa"/>
            <w:vMerge w:val="restart"/>
            <w:tcBorders>
              <w:top w:val="nil"/>
              <w:bottom w:val="nil"/>
            </w:tcBorders>
            <w:vAlign w:val="center"/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469</w:t>
            </w:r>
          </w:p>
        </w:tc>
        <w:tc>
          <w:tcPr>
            <w:tcW w:w="2268" w:type="dxa"/>
            <w:vMerge w:val="restart"/>
            <w:tcBorders>
              <w:top w:val="nil"/>
              <w:bottom w:val="nil"/>
            </w:tcBorders>
            <w:vAlign w:val="center"/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This study</w:t>
            </w:r>
          </w:p>
        </w:tc>
      </w:tr>
      <w:tr w:rsidR="00A103FA" w:rsidRPr="00D54E3C" w:rsidTr="00A103FA">
        <w:tc>
          <w:tcPr>
            <w:tcW w:w="109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sat2</w:t>
            </w:r>
          </w:p>
        </w:tc>
        <w:tc>
          <w:tcPr>
            <w:tcW w:w="1176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sat2-rv</w:t>
            </w:r>
          </w:p>
        </w:tc>
        <w:tc>
          <w:tcPr>
            <w:tcW w:w="386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CCGAGAACCAGTACCAGTA</w:t>
            </w:r>
          </w:p>
        </w:tc>
        <w:tc>
          <w:tcPr>
            <w:tcW w:w="1379" w:type="dxa"/>
            <w:vMerge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  <w:bottom w:val="nil"/>
            </w:tcBorders>
            <w:vAlign w:val="center"/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</w:p>
        </w:tc>
      </w:tr>
      <w:tr w:rsidR="00A103FA" w:rsidRPr="00D54E3C" w:rsidTr="00A103FA">
        <w:tc>
          <w:tcPr>
            <w:tcW w:w="109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dfrA1</w:t>
            </w:r>
          </w:p>
        </w:tc>
        <w:tc>
          <w:tcPr>
            <w:tcW w:w="1176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dfrA1-fw</w:t>
            </w:r>
          </w:p>
        </w:tc>
        <w:tc>
          <w:tcPr>
            <w:tcW w:w="3864" w:type="dxa"/>
            <w:tcBorders>
              <w:top w:val="nil"/>
              <w:bottom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AATGGAGTTATCGGGAATGG</w:t>
            </w:r>
          </w:p>
        </w:tc>
        <w:tc>
          <w:tcPr>
            <w:tcW w:w="1379" w:type="dxa"/>
            <w:vMerge w:val="restart"/>
            <w:tcBorders>
              <w:top w:val="nil"/>
            </w:tcBorders>
            <w:vAlign w:val="center"/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406</w:t>
            </w:r>
          </w:p>
        </w:tc>
        <w:tc>
          <w:tcPr>
            <w:tcW w:w="2268" w:type="dxa"/>
            <w:vMerge w:val="restart"/>
            <w:tcBorders>
              <w:top w:val="nil"/>
            </w:tcBorders>
            <w:vAlign w:val="center"/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This study</w:t>
            </w:r>
          </w:p>
        </w:tc>
      </w:tr>
      <w:tr w:rsidR="00A103FA" w:rsidRPr="00D54E3C" w:rsidTr="00A103FA">
        <w:tc>
          <w:tcPr>
            <w:tcW w:w="1094" w:type="dxa"/>
            <w:tcBorders>
              <w:top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dfrA1</w:t>
            </w:r>
          </w:p>
        </w:tc>
        <w:tc>
          <w:tcPr>
            <w:tcW w:w="1176" w:type="dxa"/>
            <w:tcBorders>
              <w:top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i/>
                <w:noProof/>
                <w:sz w:val="24"/>
                <w:szCs w:val="24"/>
              </w:rPr>
              <w:t>dfrA1-rv</w:t>
            </w:r>
          </w:p>
        </w:tc>
        <w:tc>
          <w:tcPr>
            <w:tcW w:w="3864" w:type="dxa"/>
            <w:tcBorders>
              <w:top w:val="nil"/>
            </w:tcBorders>
          </w:tcPr>
          <w:p w:rsidR="00A103FA" w:rsidRPr="00D54E3C" w:rsidRDefault="00A103FA" w:rsidP="00BA1DB8">
            <w:pPr>
              <w:spacing w:line="480" w:lineRule="auto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  <w:r w:rsidRPr="00D54E3C"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  <w:t>TGTTAGAGGCGAAGTCTTG</w:t>
            </w:r>
          </w:p>
        </w:tc>
        <w:tc>
          <w:tcPr>
            <w:tcW w:w="1379" w:type="dxa"/>
            <w:vMerge/>
            <w:tcBorders>
              <w:top w:val="nil"/>
            </w:tcBorders>
            <w:vAlign w:val="center"/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</w:tcBorders>
            <w:vAlign w:val="center"/>
          </w:tcPr>
          <w:p w:rsidR="00A103FA" w:rsidRPr="00D54E3C" w:rsidRDefault="00A103FA" w:rsidP="00BA1DB8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noProof/>
                <w:sz w:val="24"/>
                <w:szCs w:val="24"/>
              </w:rPr>
            </w:pPr>
          </w:p>
        </w:tc>
      </w:tr>
    </w:tbl>
    <w:p w:rsidR="00A103FA" w:rsidRPr="00D54E3C" w:rsidRDefault="00A103FA" w:rsidP="00A103FA">
      <w:pPr>
        <w:rPr>
          <w:rFonts w:ascii="Times New Roman" w:hAnsi="Times New Roman" w:cs="Times New Roman"/>
          <w:sz w:val="24"/>
          <w:szCs w:val="24"/>
        </w:rPr>
      </w:pPr>
    </w:p>
    <w:p w:rsidR="00A103FA" w:rsidRPr="00A103FA" w:rsidRDefault="00A103FA" w:rsidP="00A103FA">
      <w:pPr>
        <w:rPr>
          <w:rFonts w:ascii="Times New Roman" w:eastAsia="DengXian" w:hAnsi="Times New Roman" w:cs="Times New Roman"/>
          <w:noProof/>
          <w:sz w:val="24"/>
          <w:szCs w:val="24"/>
          <w:lang w:val="en-GB"/>
        </w:rPr>
      </w:pPr>
    </w:p>
    <w:p w:rsidR="00A103FA" w:rsidRDefault="00A103FA">
      <w:pPr>
        <w:rPr>
          <w:rFonts w:hint="eastAsia"/>
        </w:rPr>
      </w:pPr>
      <w:r w:rsidRPr="00A103FA">
        <w:rPr>
          <w:rFonts w:ascii="Times New Roman" w:eastAsia="DengXian" w:hAnsi="Times New Roman" w:cs="Times New Roman"/>
          <w:b/>
          <w:noProof/>
          <w:kern w:val="0"/>
          <w:sz w:val="24"/>
          <w:szCs w:val="24"/>
          <w:lang w:val="en-GB"/>
        </w:rPr>
        <w:t>References</w:t>
      </w:r>
    </w:p>
    <w:p w:rsidR="00A103FA" w:rsidRDefault="00A103FA">
      <w:bookmarkStart w:id="0" w:name="_GoBack"/>
      <w:bookmarkEnd w:id="0"/>
    </w:p>
    <w:p w:rsidR="00A103FA" w:rsidRPr="00A103FA" w:rsidRDefault="00A103FA" w:rsidP="00A103FA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bookmarkStart w:id="1" w:name="_ENREF_1"/>
      <w:r w:rsidRPr="00A103FA">
        <w:t xml:space="preserve">Mazel, D., Dychinco, B., Webb, V. A., &amp; Davies, J. (2000). Antibiotic resistance in the ECOR collection: integrons and identification of a novel aad gene. </w:t>
      </w:r>
      <w:r w:rsidRPr="00A103FA">
        <w:rPr>
          <w:i/>
        </w:rPr>
        <w:t>Antimicrob Agents Chemother, 44</w:t>
      </w:r>
      <w:r w:rsidRPr="00A103FA">
        <w:t>(6), 1568-1574. doi: 10.1128/aac.44.6.1568-1574.2000</w:t>
      </w:r>
      <w:bookmarkEnd w:id="1"/>
    </w:p>
    <w:p w:rsidR="00A103FA" w:rsidRPr="00A103FA" w:rsidRDefault="00A103FA" w:rsidP="00A103FA">
      <w:pPr>
        <w:pStyle w:val="EndNoteBibliography"/>
        <w:ind w:left="720" w:hanging="720"/>
      </w:pPr>
      <w:bookmarkStart w:id="2" w:name="_ENREF_2"/>
      <w:r w:rsidRPr="00A103FA">
        <w:t xml:space="preserve">Suzuki, M. T., Taylor, L. T., &amp; DeLong, E. F. (2000). Quantitative analysis of small-subunit rRNA genes in mixed microbial populations via 5'-nuclease assays. </w:t>
      </w:r>
      <w:r w:rsidRPr="00A103FA">
        <w:rPr>
          <w:i/>
        </w:rPr>
        <w:t>Appl Environ Microbiol, 66</w:t>
      </w:r>
      <w:r w:rsidRPr="00A103FA">
        <w:t>(11), 4605-4614. doi: 10.1128/aem.66.11.4605-4614.2000</w:t>
      </w:r>
      <w:bookmarkEnd w:id="2"/>
    </w:p>
    <w:p w:rsidR="005C32D6" w:rsidRDefault="00A103FA">
      <w:r>
        <w:fldChar w:fldCharType="end"/>
      </w:r>
    </w:p>
    <w:sectPr w:rsidR="005C32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6th 复制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f09r0dt2xvefgefdtk5t9f8ze5azvd2dzxx&quot;&gt;我的EndNote库&lt;record-ids&gt;&lt;item&gt;6397&lt;/item&gt;&lt;item&gt;6398&lt;/item&gt;&lt;/record-ids&gt;&lt;/item&gt;&lt;/Libraries&gt;"/>
  </w:docVars>
  <w:rsids>
    <w:rsidRoot w:val="00A103FA"/>
    <w:rsid w:val="005C32D6"/>
    <w:rsid w:val="00A10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3FA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03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"/>
    <w:link w:val="EndNoteBibliographyTitleChar"/>
    <w:rsid w:val="00A103FA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A103FA"/>
    <w:rPr>
      <w:rFonts w:ascii="Calibri" w:hAnsi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A103FA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A103FA"/>
    <w:rPr>
      <w:rFonts w:ascii="Calibri" w:hAnsi="Calibri"/>
      <w:noProof/>
      <w:sz w:val="20"/>
    </w:rPr>
  </w:style>
  <w:style w:type="character" w:styleId="a4">
    <w:name w:val="Hyperlink"/>
    <w:basedOn w:val="a0"/>
    <w:uiPriority w:val="99"/>
    <w:unhideWhenUsed/>
    <w:rsid w:val="00A103F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3FA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03F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"/>
    <w:link w:val="EndNoteBibliographyTitleChar"/>
    <w:rsid w:val="00A103FA"/>
    <w:pPr>
      <w:jc w:val="center"/>
    </w:pPr>
    <w:rPr>
      <w:rFonts w:ascii="Calibri" w:hAnsi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A103FA"/>
    <w:rPr>
      <w:rFonts w:ascii="Calibri" w:hAnsi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A103FA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A103FA"/>
    <w:rPr>
      <w:rFonts w:ascii="Calibri" w:hAnsi="Calibri"/>
      <w:noProof/>
      <w:sz w:val="20"/>
    </w:rPr>
  </w:style>
  <w:style w:type="character" w:styleId="a4">
    <w:name w:val="Hyperlink"/>
    <w:basedOn w:val="a0"/>
    <w:uiPriority w:val="99"/>
    <w:unhideWhenUsed/>
    <w:rsid w:val="00A103F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127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493</Words>
  <Characters>2815</Characters>
  <Application>Microsoft Office Word</Application>
  <DocSecurity>0</DocSecurity>
  <Lines>23</Lines>
  <Paragraphs>6</Paragraphs>
  <ScaleCrop>false</ScaleCrop>
  <Company>微软中国</Company>
  <LinksUpToDate>false</LinksUpToDate>
  <CharactersWithSpaces>3302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2020-03-13T14:44:00Z</dcterms:created>
  <dcterms:modified xsi:type="dcterms:W3CDTF">2020-03-13T14:49:00Z</dcterms:modified>
</cp:coreProperties>
</file>